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3EC5" w:rsidRDefault="004F3EC5" w:rsidP="004F3EC5">
      <w:pPr>
        <w:spacing w:line="480" w:lineRule="auto"/>
        <w:rPr>
          <w:rFonts w:ascii="Times New Roman" w:hAnsi="Times New Roman" w:cs="Times New Roman"/>
          <w:sz w:val="24"/>
          <w:szCs w:val="24"/>
        </w:rPr>
      </w:pPr>
    </w:p>
    <w:p w:rsidR="002F540E" w:rsidRDefault="002F540E" w:rsidP="002F540E">
      <w:pPr>
        <w:spacing w:line="480" w:lineRule="auto"/>
        <w:jc w:val="center"/>
        <w:rPr>
          <w:rFonts w:ascii="Times New Roman" w:hAnsi="Times New Roman" w:cs="Times New Roman"/>
          <w:sz w:val="24"/>
          <w:szCs w:val="24"/>
        </w:rPr>
      </w:pPr>
    </w:p>
    <w:p w:rsidR="004F3EC5" w:rsidRPr="002F540E" w:rsidRDefault="004F3EC5"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ECONOMICS ESSAY PAPER</w:t>
      </w:r>
    </w:p>
    <w:p w:rsidR="002F540E" w:rsidRDefault="002F540E" w:rsidP="002F540E">
      <w:pPr>
        <w:spacing w:line="480" w:lineRule="auto"/>
        <w:jc w:val="center"/>
        <w:rPr>
          <w:rFonts w:ascii="Times New Roman" w:hAnsi="Times New Roman" w:cs="Times New Roman"/>
          <w:sz w:val="24"/>
          <w:szCs w:val="24"/>
        </w:rPr>
      </w:pPr>
    </w:p>
    <w:p w:rsidR="004F3EC5" w:rsidRDefault="004F3EC5" w:rsidP="002F540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2F540E" w:rsidRDefault="002F540E" w:rsidP="002F540E">
      <w:pPr>
        <w:spacing w:line="480" w:lineRule="auto"/>
        <w:jc w:val="center"/>
        <w:rPr>
          <w:rFonts w:ascii="Times New Roman" w:hAnsi="Times New Roman" w:cs="Times New Roman"/>
          <w:sz w:val="24"/>
          <w:szCs w:val="24"/>
        </w:rPr>
      </w:pPr>
    </w:p>
    <w:p w:rsidR="004F3EC5" w:rsidRDefault="004F3EC5" w:rsidP="002F540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2F540E" w:rsidRDefault="002F540E" w:rsidP="002F540E">
      <w:pPr>
        <w:spacing w:line="480" w:lineRule="auto"/>
        <w:jc w:val="center"/>
        <w:rPr>
          <w:rFonts w:ascii="Times New Roman" w:hAnsi="Times New Roman" w:cs="Times New Roman"/>
          <w:sz w:val="24"/>
          <w:szCs w:val="24"/>
        </w:rPr>
      </w:pPr>
    </w:p>
    <w:p w:rsidR="004F3EC5" w:rsidRDefault="004F3EC5" w:rsidP="002F540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4F3EC5" w:rsidRDefault="004F3EC5" w:rsidP="002F540E">
      <w:pPr>
        <w:spacing w:line="480" w:lineRule="auto"/>
        <w:jc w:val="center"/>
        <w:rPr>
          <w:rFonts w:ascii="Times New Roman" w:hAnsi="Times New Roman" w:cs="Times New Roman"/>
          <w:sz w:val="24"/>
          <w:szCs w:val="24"/>
        </w:rPr>
      </w:pPr>
    </w:p>
    <w:p w:rsidR="004F3EC5" w:rsidRDefault="004F3EC5" w:rsidP="002F540E">
      <w:pPr>
        <w:spacing w:line="480" w:lineRule="auto"/>
        <w:jc w:val="center"/>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4F3EC5" w:rsidRDefault="004F3EC5"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3B35FF" w:rsidRPr="002F540E" w:rsidRDefault="004F3EC5"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lastRenderedPageBreak/>
        <w:t xml:space="preserve">ECONOMICS </w:t>
      </w:r>
      <w:r w:rsidR="003B35FF" w:rsidRPr="002F540E">
        <w:rPr>
          <w:rFonts w:ascii="Times New Roman" w:hAnsi="Times New Roman" w:cs="Times New Roman"/>
          <w:b/>
          <w:sz w:val="24"/>
          <w:szCs w:val="24"/>
        </w:rPr>
        <w:t>ESSAY PAPER</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Government Policy</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The Japanese government encouraged innovation in the industry sector, which contributed to promoting the growth of industries in Japan. For instance, during the postwar time, Japan refined its government and the private sector approaches developed earlier to reduce the prices of commodities and maximize the inflow of commodities that enter the country. Such a practice could also see the Japanese Industries diffuse foreign technologies. The Japanese imposition of the law prohibiting Japan's citizens from foreign direct investment also resulted in the promotion of the growth of specific industries in Japan. Such government control over foreign direct investments allowed a coordinated industry-government approach to access technology from foreign organizations in exchange for limited market access and licensing fee. </w:t>
      </w:r>
      <w:r w:rsidR="00BD5171" w:rsidRPr="004F3EC5">
        <w:rPr>
          <w:rFonts w:ascii="Times New Roman" w:hAnsi="Times New Roman" w:cs="Times New Roman"/>
          <w:sz w:val="24"/>
          <w:szCs w:val="24"/>
        </w:rPr>
        <w:t xml:space="preserve">According to </w:t>
      </w:r>
      <w:r w:rsidR="00BD5171" w:rsidRPr="004F3EC5">
        <w:rPr>
          <w:rFonts w:ascii="Times New Roman" w:hAnsi="Times New Roman" w:cs="Times New Roman"/>
          <w:color w:val="222222"/>
          <w:sz w:val="24"/>
          <w:szCs w:val="24"/>
          <w:shd w:val="clear" w:color="auto" w:fill="FFFFFF"/>
        </w:rPr>
        <w:t>Arbatli</w:t>
      </w:r>
      <w:r w:rsidR="00BD5171" w:rsidRPr="004F3EC5">
        <w:rPr>
          <w:rFonts w:ascii="Times New Roman" w:hAnsi="Times New Roman" w:cs="Times New Roman"/>
          <w:sz w:val="24"/>
          <w:szCs w:val="24"/>
        </w:rPr>
        <w:t xml:space="preserve"> et al., (2017), t</w:t>
      </w:r>
      <w:r w:rsidRPr="004F3EC5">
        <w:rPr>
          <w:rFonts w:ascii="Times New Roman" w:hAnsi="Times New Roman" w:cs="Times New Roman"/>
          <w:sz w:val="24"/>
          <w:szCs w:val="24"/>
        </w:rPr>
        <w:t>he imposition of excessive government policies and high taxes rates to companies involved in the trade has also sustained domestic prices at an artificially high level. Government programs concerning the protection of the agricultural sector have contributed to higher food prices and land prices.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Political Scenario</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The presence of political stability within a state offers a favorable climate for the business sector's thriving. In contrast, the presence of political instability offers unfavorable climates for the thriving of a business.  The Japanese state, the third-largest economy state globally, has been exposed to external impacts due to its robust dependency on exports. As predicted by the Japanese government, external projects contributed to a relatively low growth rate in Gross Domestic Product in 2019 of approximately 0.7 percent. Notably, business and organization's investments and exports have been endangered, especially by the effects of the existing trade war </w:t>
      </w:r>
      <w:r w:rsidRPr="004F3EC5">
        <w:rPr>
          <w:rFonts w:ascii="Times New Roman" w:hAnsi="Times New Roman" w:cs="Times New Roman"/>
          <w:sz w:val="24"/>
          <w:szCs w:val="24"/>
        </w:rPr>
        <w:lastRenderedPageBreak/>
        <w:t>between the United States and China. The outbreak of the COVID-19 has geared such wars. A regional clash happens between Japan and Russia over the autonomy of four islands situated between the Japanese island of Hokkaido and Russia's Kamchatka Kuriles in Russia.  Thus such disagreements are currently the cause of direct political instability within the state, which contributes to deteriorating the business sector since businessmen risk investing in the business.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Free Press and Robust Information Network</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There have been frightening emblems of declining media freedoms in Japan state. For instance, in March, three of the State's famous outspoken television presenters were removed nearly instantaneously by three different networks. Despite the three networks acting on their principles, the removal of the three outspoken television from such networks ware widely seen as orchestrated by the government, </w:t>
      </w:r>
      <w:r w:rsidR="00BD5171" w:rsidRPr="004F3EC5">
        <w:rPr>
          <w:rFonts w:ascii="Times New Roman" w:hAnsi="Times New Roman" w:cs="Times New Roman"/>
          <w:sz w:val="24"/>
          <w:szCs w:val="24"/>
        </w:rPr>
        <w:t>led</w:t>
      </w:r>
      <w:r w:rsidRPr="004F3EC5">
        <w:rPr>
          <w:rFonts w:ascii="Times New Roman" w:hAnsi="Times New Roman" w:cs="Times New Roman"/>
          <w:sz w:val="24"/>
          <w:szCs w:val="24"/>
        </w:rPr>
        <w:t xml:space="preserve"> by Prime Minister Shinzo Abe</w:t>
      </w:r>
      <w:r w:rsidR="00BD5171" w:rsidRPr="004F3EC5">
        <w:rPr>
          <w:rFonts w:ascii="Times New Roman" w:hAnsi="Times New Roman" w:cs="Times New Roman"/>
          <w:color w:val="222222"/>
          <w:sz w:val="24"/>
          <w:szCs w:val="24"/>
          <w:shd w:val="clear" w:color="auto" w:fill="FFFFFF"/>
        </w:rPr>
        <w:t xml:space="preserve"> (</w:t>
      </w:r>
      <w:r w:rsidR="00BD5171" w:rsidRPr="004F3EC5">
        <w:rPr>
          <w:rFonts w:ascii="Times New Roman" w:hAnsi="Times New Roman" w:cs="Times New Roman"/>
          <w:color w:val="222222"/>
          <w:sz w:val="24"/>
          <w:szCs w:val="24"/>
          <w:shd w:val="clear" w:color="auto" w:fill="FFFFFF"/>
        </w:rPr>
        <w:t>Davies</w:t>
      </w:r>
      <w:r w:rsidR="00BD5171" w:rsidRPr="004F3EC5">
        <w:rPr>
          <w:rFonts w:ascii="Times New Roman" w:hAnsi="Times New Roman" w:cs="Times New Roman"/>
          <w:color w:val="222222"/>
          <w:sz w:val="24"/>
          <w:szCs w:val="24"/>
          <w:shd w:val="clear" w:color="auto" w:fill="FFFFFF"/>
        </w:rPr>
        <w:t xml:space="preserve"> et al., 2019)</w:t>
      </w:r>
      <w:r w:rsidRPr="004F3EC5">
        <w:rPr>
          <w:rFonts w:ascii="Times New Roman" w:hAnsi="Times New Roman" w:cs="Times New Roman"/>
          <w:sz w:val="24"/>
          <w:szCs w:val="24"/>
        </w:rPr>
        <w:t>. The removal of such television was geared by their critics of the prime minister's plan, including restarting Japan's nuclear power industry and progressing back its postwar nonaggression. The Japanese government also has the possession of the legal power to shut down or close any television broadcasters that seem to be politically biased. Such legal power negatively impacted the media group, especially the largest liberal newspaper, the Asahi Shimbun, restrained and other crucial commentators dismissed from the airwaves.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Human Capital</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In Japan, human capital plays a critical role, especially in accumulating technology through learning by doing. With Japan's human capital, it is relatively high. Notably, many feudal lords have contributed such high human capital who have placed a lot of significance on learning and technology. High human capital in Japan is also contributed by the poor people who try their best to offer their children an elementary education. High human capital has also </w:t>
      </w:r>
      <w:r w:rsidRPr="004F3EC5">
        <w:rPr>
          <w:rFonts w:ascii="Times New Roman" w:hAnsi="Times New Roman" w:cs="Times New Roman"/>
          <w:sz w:val="24"/>
          <w:szCs w:val="24"/>
        </w:rPr>
        <w:lastRenderedPageBreak/>
        <w:t>contributed to making one of the Japanese towns a better city hence the leading world city. In terms of educational levels offered in Japan, the school system's structure resembles that of the United States. The system commences with a nursery school level with children starting to attend school when they graduate three years</w:t>
      </w:r>
      <w:r w:rsidR="00BD5171" w:rsidRPr="004F3EC5">
        <w:rPr>
          <w:rFonts w:ascii="Times New Roman" w:hAnsi="Times New Roman" w:cs="Times New Roman"/>
          <w:color w:val="222222"/>
          <w:sz w:val="24"/>
          <w:szCs w:val="24"/>
          <w:shd w:val="clear" w:color="auto" w:fill="FFFFFF"/>
        </w:rPr>
        <w:t xml:space="preserve"> (</w:t>
      </w:r>
      <w:r w:rsidR="00BD5171" w:rsidRPr="004F3EC5">
        <w:rPr>
          <w:rFonts w:ascii="Times New Roman" w:hAnsi="Times New Roman" w:cs="Times New Roman"/>
          <w:color w:val="222222"/>
          <w:sz w:val="24"/>
          <w:szCs w:val="24"/>
          <w:shd w:val="clear" w:color="auto" w:fill="FFFFFF"/>
        </w:rPr>
        <w:t>Farka</w:t>
      </w:r>
      <w:r w:rsidR="00BD5171" w:rsidRPr="004F3EC5">
        <w:rPr>
          <w:rFonts w:ascii="Times New Roman" w:hAnsi="Times New Roman" w:cs="Times New Roman"/>
          <w:color w:val="222222"/>
          <w:sz w:val="24"/>
          <w:szCs w:val="24"/>
          <w:shd w:val="clear" w:color="auto" w:fill="FFFFFF"/>
        </w:rPr>
        <w:t xml:space="preserve">s, </w:t>
      </w:r>
      <w:r w:rsidR="00BD5171" w:rsidRPr="004F3EC5">
        <w:rPr>
          <w:rFonts w:ascii="Times New Roman" w:hAnsi="Times New Roman" w:cs="Times New Roman"/>
          <w:color w:val="222222"/>
          <w:sz w:val="24"/>
          <w:szCs w:val="24"/>
          <w:shd w:val="clear" w:color="auto" w:fill="FFFFFF"/>
        </w:rPr>
        <w:t>2017</w:t>
      </w:r>
      <w:r w:rsidR="00BD5171" w:rsidRPr="004F3EC5">
        <w:rPr>
          <w:rFonts w:ascii="Times New Roman" w:hAnsi="Times New Roman" w:cs="Times New Roman"/>
          <w:color w:val="222222"/>
          <w:sz w:val="24"/>
          <w:szCs w:val="24"/>
          <w:shd w:val="clear" w:color="auto" w:fill="FFFFFF"/>
        </w:rPr>
        <w:t>)</w:t>
      </w:r>
      <w:r w:rsidRPr="004F3EC5">
        <w:rPr>
          <w:rFonts w:ascii="Times New Roman" w:hAnsi="Times New Roman" w:cs="Times New Roman"/>
          <w:sz w:val="24"/>
          <w:szCs w:val="24"/>
        </w:rPr>
        <w:t>. The next level of schooling is the elementary school, which almost takes six years, and middle school level takes three years to complete. Notably, in Japan system of education, completing elementary schooling and middle schooling is mandatory. The next level after middle school is high school and then technical colleges.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Internal and International Citizen Mobility</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International citizen mobility in Japan may be as a result of the search for employment or labor force. Concerning the international citizen mobility to Japan, it's mainly influenced by the shortage of labor force within Japan's industries. For instance, insufficient labor, especially during the bubble economy in Japan, resulted in a massive influx of foreigners who came to stabilize the workforce needed in various Japanese State organizations. Such a shortage of labor force increased the foreign population. Internal mobility of the Japanese is highly influenced by various factors, including searching for job opportunities within the State and inquiry of learning institutions by learners. Peoples living in rural areas in Japan migrated from such setting to Urban setting to access job, which in turn will contribute for them to earn a living. In terms of searching for a learning institution, learners might migrate from one place to another to access quality education services.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Health Indicators</w:t>
      </w:r>
    </w:p>
    <w:p w:rsidR="003B35FF" w:rsidRPr="004F3EC5" w:rsidRDefault="004F3EC5"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color w:val="222222"/>
          <w:sz w:val="24"/>
          <w:szCs w:val="24"/>
          <w:shd w:val="clear" w:color="auto" w:fill="FFFFFF"/>
        </w:rPr>
        <w:t xml:space="preserve">According to </w:t>
      </w:r>
      <w:r w:rsidR="00BD5171" w:rsidRPr="004F3EC5">
        <w:rPr>
          <w:rFonts w:ascii="Times New Roman" w:hAnsi="Times New Roman" w:cs="Times New Roman"/>
          <w:color w:val="222222"/>
          <w:sz w:val="24"/>
          <w:szCs w:val="24"/>
          <w:shd w:val="clear" w:color="auto" w:fill="FFFFFF"/>
        </w:rPr>
        <w:t>Saito</w:t>
      </w:r>
      <w:r w:rsidR="00BD5171" w:rsidRPr="004F3EC5">
        <w:rPr>
          <w:rFonts w:ascii="Times New Roman" w:hAnsi="Times New Roman" w:cs="Times New Roman"/>
          <w:sz w:val="24"/>
          <w:szCs w:val="24"/>
        </w:rPr>
        <w:t xml:space="preserve"> et al., (</w:t>
      </w:r>
      <w:r w:rsidRPr="004F3EC5">
        <w:rPr>
          <w:rFonts w:ascii="Times New Roman" w:hAnsi="Times New Roman" w:cs="Times New Roman"/>
          <w:sz w:val="24"/>
          <w:szCs w:val="24"/>
        </w:rPr>
        <w:t>2017), t</w:t>
      </w:r>
      <w:r w:rsidR="003B35FF" w:rsidRPr="004F3EC5">
        <w:rPr>
          <w:rFonts w:ascii="Times New Roman" w:hAnsi="Times New Roman" w:cs="Times New Roman"/>
          <w:sz w:val="24"/>
          <w:szCs w:val="24"/>
        </w:rPr>
        <w:t xml:space="preserve">he health expectancy for the people in Japan whose age ranges about sixty-five years is about 13.13 to 17.39 percent, especially for the male gender. For </w:t>
      </w:r>
      <w:r w:rsidR="003B35FF" w:rsidRPr="004F3EC5">
        <w:rPr>
          <w:rFonts w:ascii="Times New Roman" w:hAnsi="Times New Roman" w:cs="Times New Roman"/>
          <w:sz w:val="24"/>
          <w:szCs w:val="24"/>
        </w:rPr>
        <w:lastRenderedPageBreak/>
        <w:t>the female gender, their health expectancy ranges from 14.84 to 20.53 percent. Notably, Japan is the leading state with the highest population, which is highly correlated with capital income and employment rate within the state. In Japan, long-term care insurance, especially for the aged peoples, is a factor that is highly emphasized. Concerning infant mortality, Japan is one of the leading states considered to have favorable infant health. As per the Ministry of Health in Japan state, there were one thousand, seven hundred and sixty-one deaths on young infants aging one year born in 2017. The infant mortality rate in Japan is approximately 1.9 percent for every one thousand births. Some of the epidemics that have affected Japan include the Smallpox disease, which highly affected Dazaifu and Fukuoka.</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Infrastructure</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In terms of infrastructure, Japan is considered one of the States in the entire world with advanced and well-maintained infrastructure since it undergoes regular upgrading and expansion. In terms of railway coverage, the Japanese railway almost covers 23,670 kilometers, approximately 14,708 miles</w:t>
      </w:r>
      <w:r w:rsidR="004F3EC5" w:rsidRPr="004F3EC5">
        <w:rPr>
          <w:rFonts w:ascii="Times New Roman" w:hAnsi="Times New Roman" w:cs="Times New Roman"/>
          <w:color w:val="222222"/>
          <w:sz w:val="24"/>
          <w:szCs w:val="24"/>
          <w:shd w:val="clear" w:color="auto" w:fill="FFFFFF"/>
        </w:rPr>
        <w:t xml:space="preserve"> (Hong, </w:t>
      </w:r>
      <w:r w:rsidR="004F3EC5" w:rsidRPr="004F3EC5">
        <w:rPr>
          <w:rFonts w:ascii="Times New Roman" w:hAnsi="Times New Roman" w:cs="Times New Roman"/>
          <w:color w:val="222222"/>
          <w:sz w:val="24"/>
          <w:szCs w:val="24"/>
          <w:shd w:val="clear" w:color="auto" w:fill="FFFFFF"/>
        </w:rPr>
        <w:t>2018</w:t>
      </w:r>
      <w:r w:rsidR="004F3EC5" w:rsidRPr="004F3EC5">
        <w:rPr>
          <w:rFonts w:ascii="Times New Roman" w:hAnsi="Times New Roman" w:cs="Times New Roman"/>
          <w:color w:val="222222"/>
          <w:sz w:val="24"/>
          <w:szCs w:val="24"/>
          <w:shd w:val="clear" w:color="auto" w:fill="FFFFFF"/>
        </w:rPr>
        <w:t>)</w:t>
      </w:r>
      <w:r w:rsidRPr="004F3EC5">
        <w:rPr>
          <w:rFonts w:ascii="Times New Roman" w:hAnsi="Times New Roman" w:cs="Times New Roman"/>
          <w:sz w:val="24"/>
          <w:szCs w:val="24"/>
        </w:rPr>
        <w:t>. The Japanese mode of telecommunication is also very advanced since it includes both private and public providers, with Nippon Telephone and Telegraph (NTT) controlling almost ninety-five percent of the fixed telephone lines. The rate of internet use in Japan is low, attributing to almost 13.34 percent forever one thousand peoples. Japan has a large television and radio industry that is run by both the public and private sectors. In terms of power generation, the Japanese encompass private and public companies to generate power to enhance the efficiency of tasks performed in large industries. Japan electricity is generated from four major ways, which include the thermal method, nuclear, hydro, and non-conventional like solar and wind.</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Agricultural Self-Sustainability</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lastRenderedPageBreak/>
        <w:t>The citizens of Japan mainly depend on rice for their domestic consumption. Emphasis on rice consumption has become one of the Japanese government projects that puts more effort into promoting the use of rice flour among the civilians lining in Japan. For instance, in Japan, rice flour has long been put into use as an ingredient in traditional sweets and other food substances by the Japan citizens. The government of Japan is also undertaking public relations activities for the purpose of boosting rice flour consumption. Some of the Japanese agricultural exports include beef, apples, Green tea, and Mackerel. In fact, to every agricultural export commodity, the Japanese exports increased by a certain percent. For instance, the beef exports increased by almost 29.1 percent, winning most of its customers due to the delicate taste. In terms of the exports of the fruits, the apple export increased by 27.6 percent</w:t>
      </w:r>
      <w:r w:rsidR="00BD5171" w:rsidRPr="004F3EC5">
        <w:rPr>
          <w:rFonts w:ascii="Times New Roman" w:hAnsi="Times New Roman" w:cs="Times New Roman"/>
          <w:color w:val="222222"/>
          <w:sz w:val="24"/>
          <w:szCs w:val="24"/>
          <w:shd w:val="clear" w:color="auto" w:fill="FFFFFF"/>
        </w:rPr>
        <w:t xml:space="preserve"> (</w:t>
      </w:r>
      <w:proofErr w:type="spellStart"/>
      <w:r w:rsidR="00BD5171" w:rsidRPr="004F3EC5">
        <w:rPr>
          <w:rFonts w:ascii="Times New Roman" w:hAnsi="Times New Roman" w:cs="Times New Roman"/>
          <w:color w:val="222222"/>
          <w:sz w:val="24"/>
          <w:szCs w:val="24"/>
          <w:shd w:val="clear" w:color="auto" w:fill="FFFFFF"/>
        </w:rPr>
        <w:t>Ahl</w:t>
      </w:r>
      <w:proofErr w:type="spellEnd"/>
      <w:r w:rsidR="00BD5171" w:rsidRPr="004F3EC5">
        <w:rPr>
          <w:rFonts w:ascii="Times New Roman" w:hAnsi="Times New Roman" w:cs="Times New Roman"/>
          <w:color w:val="222222"/>
          <w:sz w:val="24"/>
          <w:szCs w:val="24"/>
          <w:shd w:val="clear" w:color="auto" w:fill="FFFFFF"/>
        </w:rPr>
        <w:t xml:space="preserve"> et al., 2019)</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Industry Support</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After the end of the second world war, the United Nations Occupation authorities encouraged the formation of independent unions that would fight for the rights of the workers and the conditions of employment such employees are working on. Through this, Japan's national labor unions were formed, which include Rengo, </w:t>
      </w:r>
      <w:proofErr w:type="spellStart"/>
      <w:r w:rsidRPr="004F3EC5">
        <w:rPr>
          <w:rFonts w:ascii="Times New Roman" w:hAnsi="Times New Roman" w:cs="Times New Roman"/>
          <w:sz w:val="24"/>
          <w:szCs w:val="24"/>
        </w:rPr>
        <w:t>Zenroren</w:t>
      </w:r>
      <w:proofErr w:type="spellEnd"/>
      <w:r w:rsidRPr="004F3EC5">
        <w:rPr>
          <w:rFonts w:ascii="Times New Roman" w:hAnsi="Times New Roman" w:cs="Times New Roman"/>
          <w:sz w:val="24"/>
          <w:szCs w:val="24"/>
        </w:rPr>
        <w:t xml:space="preserve"> and </w:t>
      </w:r>
      <w:proofErr w:type="spellStart"/>
      <w:r w:rsidRPr="004F3EC5">
        <w:rPr>
          <w:rFonts w:ascii="Times New Roman" w:hAnsi="Times New Roman" w:cs="Times New Roman"/>
          <w:sz w:val="24"/>
          <w:szCs w:val="24"/>
        </w:rPr>
        <w:t>Zenrokyo</w:t>
      </w:r>
      <w:proofErr w:type="spellEnd"/>
      <w:r w:rsidRPr="004F3EC5">
        <w:rPr>
          <w:rFonts w:ascii="Times New Roman" w:hAnsi="Times New Roman" w:cs="Times New Roman"/>
          <w:sz w:val="24"/>
          <w:szCs w:val="24"/>
        </w:rPr>
        <w:t>. Such unions facilitate the easing of government regulations and policies.</w:t>
      </w:r>
    </w:p>
    <w:p w:rsidR="003B35FF"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t>Industrial Growth and Development</w:t>
      </w:r>
    </w:p>
    <w:p w:rsidR="003B35FF" w:rsidRPr="004F3EC5" w:rsidRDefault="003B35FF" w:rsidP="002F540E">
      <w:pPr>
        <w:spacing w:after="0" w:line="480" w:lineRule="auto"/>
        <w:ind w:firstLine="720"/>
        <w:contextualSpacing/>
        <w:rPr>
          <w:rFonts w:ascii="Times New Roman" w:hAnsi="Times New Roman" w:cs="Times New Roman"/>
          <w:sz w:val="24"/>
          <w:szCs w:val="24"/>
        </w:rPr>
      </w:pPr>
      <w:r w:rsidRPr="004F3EC5">
        <w:rPr>
          <w:rFonts w:ascii="Times New Roman" w:hAnsi="Times New Roman" w:cs="Times New Roman"/>
          <w:sz w:val="24"/>
          <w:szCs w:val="24"/>
        </w:rPr>
        <w:t xml:space="preserve">The construction of railways by the Japanese and the </w:t>
      </w:r>
      <w:proofErr w:type="spellStart"/>
      <w:r w:rsidRPr="004F3EC5">
        <w:rPr>
          <w:rFonts w:ascii="Times New Roman" w:hAnsi="Times New Roman" w:cs="Times New Roman"/>
          <w:sz w:val="24"/>
          <w:szCs w:val="24"/>
        </w:rPr>
        <w:t>Tomioka</w:t>
      </w:r>
      <w:proofErr w:type="spellEnd"/>
      <w:r w:rsidRPr="004F3EC5">
        <w:rPr>
          <w:rFonts w:ascii="Times New Roman" w:hAnsi="Times New Roman" w:cs="Times New Roman"/>
          <w:sz w:val="24"/>
          <w:szCs w:val="24"/>
        </w:rPr>
        <w:t xml:space="preserve"> Silk mill's innovation demonstrates how far the Japanese technicians and their level of academics have been upgrading. Much of the efforts geared towards the Japanese industry has been contributed by the government. Some of the industrial development established in Japan, specifically in Tokyo and Yokohama, includes the first telegraph line established in the year 1869. Japan's government has highly invested in developing the state's key roads so as to facilitate efficient transportation of </w:t>
      </w:r>
      <w:r w:rsidRPr="004F3EC5">
        <w:rPr>
          <w:rFonts w:ascii="Times New Roman" w:hAnsi="Times New Roman" w:cs="Times New Roman"/>
          <w:sz w:val="24"/>
          <w:szCs w:val="24"/>
        </w:rPr>
        <w:lastRenderedPageBreak/>
        <w:t>goods by both carts and motor vehicles. The Japanese government also put much of its efforts into financing private companies such as Mitsubishi to ensure such companies thrive well in the market field as they were competing with Western companies. Nevertheless, the Japanese government also established and operated many factories like the light industry and agriculture industry intending to boost the private industry.</w:t>
      </w: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Default="002F540E" w:rsidP="004F3EC5">
      <w:pPr>
        <w:spacing w:line="480" w:lineRule="auto"/>
        <w:rPr>
          <w:rFonts w:ascii="Times New Roman" w:hAnsi="Times New Roman" w:cs="Times New Roman"/>
          <w:sz w:val="24"/>
          <w:szCs w:val="24"/>
        </w:rPr>
      </w:pPr>
    </w:p>
    <w:p w:rsidR="002F540E" w:rsidRPr="002F540E" w:rsidRDefault="003B35FF" w:rsidP="002F540E">
      <w:pPr>
        <w:spacing w:line="480" w:lineRule="auto"/>
        <w:jc w:val="center"/>
        <w:rPr>
          <w:rFonts w:ascii="Times New Roman" w:hAnsi="Times New Roman" w:cs="Times New Roman"/>
          <w:b/>
          <w:sz w:val="24"/>
          <w:szCs w:val="24"/>
        </w:rPr>
      </w:pPr>
      <w:r w:rsidRPr="002F540E">
        <w:rPr>
          <w:rFonts w:ascii="Times New Roman" w:hAnsi="Times New Roman" w:cs="Times New Roman"/>
          <w:b/>
          <w:sz w:val="24"/>
          <w:szCs w:val="24"/>
        </w:rPr>
        <w:lastRenderedPageBreak/>
        <w:t>References</w:t>
      </w:r>
      <w:bookmarkStart w:id="0" w:name="_GoBack"/>
      <w:bookmarkEnd w:id="0"/>
    </w:p>
    <w:p w:rsidR="002F540E" w:rsidRPr="004F3EC5" w:rsidRDefault="002F540E" w:rsidP="002F540E">
      <w:pPr>
        <w:spacing w:after="0" w:line="480" w:lineRule="auto"/>
        <w:ind w:left="284" w:hanging="284"/>
        <w:contextualSpacing/>
        <w:rPr>
          <w:rFonts w:ascii="Times New Roman" w:hAnsi="Times New Roman" w:cs="Times New Roman"/>
          <w:sz w:val="24"/>
          <w:szCs w:val="24"/>
        </w:rPr>
      </w:pPr>
      <w:proofErr w:type="spellStart"/>
      <w:r w:rsidRPr="004F3EC5">
        <w:rPr>
          <w:rFonts w:ascii="Times New Roman" w:hAnsi="Times New Roman" w:cs="Times New Roman"/>
          <w:color w:val="222222"/>
          <w:sz w:val="24"/>
          <w:szCs w:val="24"/>
          <w:shd w:val="clear" w:color="auto" w:fill="FFFFFF"/>
        </w:rPr>
        <w:t>Ahl</w:t>
      </w:r>
      <w:proofErr w:type="spellEnd"/>
      <w:r w:rsidRPr="004F3EC5">
        <w:rPr>
          <w:rFonts w:ascii="Times New Roman" w:hAnsi="Times New Roman" w:cs="Times New Roman"/>
          <w:color w:val="222222"/>
          <w:sz w:val="24"/>
          <w:szCs w:val="24"/>
          <w:shd w:val="clear" w:color="auto" w:fill="FFFFFF"/>
        </w:rPr>
        <w:t xml:space="preserve">, A., </w:t>
      </w:r>
      <w:proofErr w:type="spellStart"/>
      <w:r w:rsidRPr="004F3EC5">
        <w:rPr>
          <w:rFonts w:ascii="Times New Roman" w:hAnsi="Times New Roman" w:cs="Times New Roman"/>
          <w:color w:val="222222"/>
          <w:sz w:val="24"/>
          <w:szCs w:val="24"/>
          <w:shd w:val="clear" w:color="auto" w:fill="FFFFFF"/>
        </w:rPr>
        <w:t>Goto</w:t>
      </w:r>
      <w:proofErr w:type="spellEnd"/>
      <w:r w:rsidRPr="004F3EC5">
        <w:rPr>
          <w:rFonts w:ascii="Times New Roman" w:hAnsi="Times New Roman" w:cs="Times New Roman"/>
          <w:color w:val="222222"/>
          <w:sz w:val="24"/>
          <w:szCs w:val="24"/>
          <w:shd w:val="clear" w:color="auto" w:fill="FFFFFF"/>
        </w:rPr>
        <w:t xml:space="preserve">, M., &amp; </w:t>
      </w:r>
      <w:proofErr w:type="spellStart"/>
      <w:r w:rsidRPr="004F3EC5">
        <w:rPr>
          <w:rFonts w:ascii="Times New Roman" w:hAnsi="Times New Roman" w:cs="Times New Roman"/>
          <w:color w:val="222222"/>
          <w:sz w:val="24"/>
          <w:szCs w:val="24"/>
          <w:shd w:val="clear" w:color="auto" w:fill="FFFFFF"/>
        </w:rPr>
        <w:t>Yarime</w:t>
      </w:r>
      <w:proofErr w:type="spellEnd"/>
      <w:r w:rsidRPr="004F3EC5">
        <w:rPr>
          <w:rFonts w:ascii="Times New Roman" w:hAnsi="Times New Roman" w:cs="Times New Roman"/>
          <w:color w:val="222222"/>
          <w:sz w:val="24"/>
          <w:szCs w:val="24"/>
          <w:shd w:val="clear" w:color="auto" w:fill="FFFFFF"/>
        </w:rPr>
        <w:t>, M. (2019). Smart technology applications in the woody biomass supply chain: interview insights and potential in Japan. </w:t>
      </w:r>
      <w:r w:rsidRPr="004F3EC5">
        <w:rPr>
          <w:rFonts w:ascii="Times New Roman" w:hAnsi="Times New Roman" w:cs="Times New Roman"/>
          <w:i/>
          <w:iCs/>
          <w:color w:val="222222"/>
          <w:sz w:val="24"/>
          <w:szCs w:val="24"/>
          <w:shd w:val="clear" w:color="auto" w:fill="FFFFFF"/>
        </w:rPr>
        <w:t>Sustainability Science</w:t>
      </w:r>
      <w:r w:rsidRPr="004F3EC5">
        <w:rPr>
          <w:rFonts w:ascii="Times New Roman" w:hAnsi="Times New Roman" w:cs="Times New Roman"/>
          <w:color w:val="222222"/>
          <w:sz w:val="24"/>
          <w:szCs w:val="24"/>
          <w:shd w:val="clear" w:color="auto" w:fill="FFFFFF"/>
        </w:rPr>
        <w:t>, 1-23.</w:t>
      </w:r>
    </w:p>
    <w:p w:rsidR="002F540E" w:rsidRPr="004F3EC5" w:rsidRDefault="002F540E" w:rsidP="002F540E">
      <w:pPr>
        <w:spacing w:after="0" w:line="480" w:lineRule="auto"/>
        <w:ind w:left="284" w:hanging="284"/>
        <w:contextualSpacing/>
        <w:rPr>
          <w:rFonts w:ascii="Times New Roman" w:hAnsi="Times New Roman" w:cs="Times New Roman"/>
          <w:color w:val="222222"/>
          <w:sz w:val="24"/>
          <w:szCs w:val="24"/>
          <w:shd w:val="clear" w:color="auto" w:fill="FFFFFF"/>
        </w:rPr>
      </w:pPr>
      <w:r w:rsidRPr="004F3EC5">
        <w:rPr>
          <w:rFonts w:ascii="Times New Roman" w:hAnsi="Times New Roman" w:cs="Times New Roman"/>
          <w:color w:val="222222"/>
          <w:sz w:val="24"/>
          <w:szCs w:val="24"/>
          <w:shd w:val="clear" w:color="auto" w:fill="FFFFFF"/>
        </w:rPr>
        <w:t xml:space="preserve">Arbatli, E. C., Davis, S. J., Ito, A., &amp; </w:t>
      </w:r>
      <w:proofErr w:type="spellStart"/>
      <w:r w:rsidRPr="004F3EC5">
        <w:rPr>
          <w:rFonts w:ascii="Times New Roman" w:hAnsi="Times New Roman" w:cs="Times New Roman"/>
          <w:color w:val="222222"/>
          <w:sz w:val="24"/>
          <w:szCs w:val="24"/>
          <w:shd w:val="clear" w:color="auto" w:fill="FFFFFF"/>
        </w:rPr>
        <w:t>Miake</w:t>
      </w:r>
      <w:proofErr w:type="spellEnd"/>
      <w:r w:rsidRPr="004F3EC5">
        <w:rPr>
          <w:rFonts w:ascii="Times New Roman" w:hAnsi="Times New Roman" w:cs="Times New Roman"/>
          <w:color w:val="222222"/>
          <w:sz w:val="24"/>
          <w:szCs w:val="24"/>
          <w:shd w:val="clear" w:color="auto" w:fill="FFFFFF"/>
        </w:rPr>
        <w:t>, N. (2017). </w:t>
      </w:r>
      <w:r w:rsidRPr="004F3EC5">
        <w:rPr>
          <w:rFonts w:ascii="Times New Roman" w:hAnsi="Times New Roman" w:cs="Times New Roman"/>
          <w:i/>
          <w:iCs/>
          <w:color w:val="222222"/>
          <w:sz w:val="24"/>
          <w:szCs w:val="24"/>
          <w:shd w:val="clear" w:color="auto" w:fill="FFFFFF"/>
        </w:rPr>
        <w:t>Policy uncertainty in Japan</w:t>
      </w:r>
      <w:r w:rsidRPr="004F3EC5">
        <w:rPr>
          <w:rFonts w:ascii="Times New Roman" w:hAnsi="Times New Roman" w:cs="Times New Roman"/>
          <w:color w:val="222222"/>
          <w:sz w:val="24"/>
          <w:szCs w:val="24"/>
          <w:shd w:val="clear" w:color="auto" w:fill="FFFFFF"/>
        </w:rPr>
        <w:t> (No. w23411). National Bureau of Economic Research.</w:t>
      </w:r>
    </w:p>
    <w:p w:rsidR="002F540E" w:rsidRPr="004F3EC5" w:rsidRDefault="002F540E" w:rsidP="002F540E">
      <w:pPr>
        <w:spacing w:after="0" w:line="480" w:lineRule="auto"/>
        <w:ind w:left="284" w:hanging="284"/>
        <w:contextualSpacing/>
        <w:rPr>
          <w:rFonts w:ascii="Times New Roman" w:hAnsi="Times New Roman" w:cs="Times New Roman"/>
          <w:color w:val="222222"/>
          <w:sz w:val="24"/>
          <w:szCs w:val="24"/>
          <w:shd w:val="clear" w:color="auto" w:fill="FFFFFF"/>
        </w:rPr>
      </w:pPr>
      <w:r w:rsidRPr="004F3EC5">
        <w:rPr>
          <w:rFonts w:ascii="Times New Roman" w:hAnsi="Times New Roman" w:cs="Times New Roman"/>
          <w:color w:val="222222"/>
          <w:sz w:val="24"/>
          <w:szCs w:val="24"/>
          <w:shd w:val="clear" w:color="auto" w:fill="FFFFFF"/>
        </w:rPr>
        <w:t xml:space="preserve">Davies, L., Roman, B. R., Fukushima, M., Ito, Y., &amp; </w:t>
      </w:r>
      <w:proofErr w:type="spellStart"/>
      <w:r w:rsidRPr="004F3EC5">
        <w:rPr>
          <w:rFonts w:ascii="Times New Roman" w:hAnsi="Times New Roman" w:cs="Times New Roman"/>
          <w:color w:val="222222"/>
          <w:sz w:val="24"/>
          <w:szCs w:val="24"/>
          <w:shd w:val="clear" w:color="auto" w:fill="FFFFFF"/>
        </w:rPr>
        <w:t>Miyauchi</w:t>
      </w:r>
      <w:proofErr w:type="spellEnd"/>
      <w:r w:rsidRPr="004F3EC5">
        <w:rPr>
          <w:rFonts w:ascii="Times New Roman" w:hAnsi="Times New Roman" w:cs="Times New Roman"/>
          <w:color w:val="222222"/>
          <w:sz w:val="24"/>
          <w:szCs w:val="24"/>
          <w:shd w:val="clear" w:color="auto" w:fill="FFFFFF"/>
        </w:rPr>
        <w:t>, A. (2019). Patient experience of thyroid cancer active surveillance in Japan. </w:t>
      </w:r>
      <w:r w:rsidRPr="004F3EC5">
        <w:rPr>
          <w:rFonts w:ascii="Times New Roman" w:hAnsi="Times New Roman" w:cs="Times New Roman"/>
          <w:i/>
          <w:iCs/>
          <w:color w:val="222222"/>
          <w:sz w:val="24"/>
          <w:szCs w:val="24"/>
          <w:shd w:val="clear" w:color="auto" w:fill="FFFFFF"/>
        </w:rPr>
        <w:t>JAMA Otolaryngology–Head &amp; Neck Surgery</w:t>
      </w:r>
      <w:r w:rsidRPr="004F3EC5">
        <w:rPr>
          <w:rFonts w:ascii="Times New Roman" w:hAnsi="Times New Roman" w:cs="Times New Roman"/>
          <w:color w:val="222222"/>
          <w:sz w:val="24"/>
          <w:szCs w:val="24"/>
          <w:shd w:val="clear" w:color="auto" w:fill="FFFFFF"/>
        </w:rPr>
        <w:t>, </w:t>
      </w:r>
      <w:r w:rsidRPr="004F3EC5">
        <w:rPr>
          <w:rFonts w:ascii="Times New Roman" w:hAnsi="Times New Roman" w:cs="Times New Roman"/>
          <w:i/>
          <w:iCs/>
          <w:color w:val="222222"/>
          <w:sz w:val="24"/>
          <w:szCs w:val="24"/>
          <w:shd w:val="clear" w:color="auto" w:fill="FFFFFF"/>
        </w:rPr>
        <w:t>145</w:t>
      </w:r>
      <w:r w:rsidRPr="004F3EC5">
        <w:rPr>
          <w:rFonts w:ascii="Times New Roman" w:hAnsi="Times New Roman" w:cs="Times New Roman"/>
          <w:color w:val="222222"/>
          <w:sz w:val="24"/>
          <w:szCs w:val="24"/>
          <w:shd w:val="clear" w:color="auto" w:fill="FFFFFF"/>
        </w:rPr>
        <w:t>(4), 363-370.</w:t>
      </w:r>
    </w:p>
    <w:p w:rsidR="002F540E" w:rsidRPr="004F3EC5" w:rsidRDefault="002F540E" w:rsidP="002F540E">
      <w:pPr>
        <w:spacing w:after="0" w:line="480" w:lineRule="auto"/>
        <w:ind w:left="284" w:hanging="284"/>
        <w:contextualSpacing/>
        <w:rPr>
          <w:rFonts w:ascii="Times New Roman" w:hAnsi="Times New Roman" w:cs="Times New Roman"/>
          <w:color w:val="222222"/>
          <w:sz w:val="24"/>
          <w:szCs w:val="24"/>
          <w:shd w:val="clear" w:color="auto" w:fill="FFFFFF"/>
        </w:rPr>
      </w:pPr>
      <w:r w:rsidRPr="004F3EC5">
        <w:rPr>
          <w:rFonts w:ascii="Times New Roman" w:hAnsi="Times New Roman" w:cs="Times New Roman"/>
          <w:color w:val="222222"/>
          <w:sz w:val="24"/>
          <w:szCs w:val="24"/>
          <w:shd w:val="clear" w:color="auto" w:fill="FFFFFF"/>
        </w:rPr>
        <w:t>Farkas, G. (2017). </w:t>
      </w:r>
      <w:r w:rsidRPr="004F3EC5">
        <w:rPr>
          <w:rFonts w:ascii="Times New Roman" w:hAnsi="Times New Roman" w:cs="Times New Roman"/>
          <w:i/>
          <w:iCs/>
          <w:color w:val="222222"/>
          <w:sz w:val="24"/>
          <w:szCs w:val="24"/>
          <w:shd w:val="clear" w:color="auto" w:fill="FFFFFF"/>
        </w:rPr>
        <w:t xml:space="preserve">Human capital or cultural </w:t>
      </w:r>
      <w:proofErr w:type="gramStart"/>
      <w:r w:rsidRPr="004F3EC5">
        <w:rPr>
          <w:rFonts w:ascii="Times New Roman" w:hAnsi="Times New Roman" w:cs="Times New Roman"/>
          <w:i/>
          <w:iCs/>
          <w:color w:val="222222"/>
          <w:sz w:val="24"/>
          <w:szCs w:val="24"/>
          <w:shd w:val="clear" w:color="auto" w:fill="FFFFFF"/>
        </w:rPr>
        <w:t>capital?:</w:t>
      </w:r>
      <w:proofErr w:type="gramEnd"/>
      <w:r w:rsidRPr="004F3EC5">
        <w:rPr>
          <w:rFonts w:ascii="Times New Roman" w:hAnsi="Times New Roman" w:cs="Times New Roman"/>
          <w:i/>
          <w:iCs/>
          <w:color w:val="222222"/>
          <w:sz w:val="24"/>
          <w:szCs w:val="24"/>
          <w:shd w:val="clear" w:color="auto" w:fill="FFFFFF"/>
        </w:rPr>
        <w:t xml:space="preserve"> Ethnicity and poverty groups in an urban school district</w:t>
      </w:r>
      <w:r w:rsidRPr="004F3EC5">
        <w:rPr>
          <w:rFonts w:ascii="Times New Roman" w:hAnsi="Times New Roman" w:cs="Times New Roman"/>
          <w:color w:val="222222"/>
          <w:sz w:val="24"/>
          <w:szCs w:val="24"/>
          <w:shd w:val="clear" w:color="auto" w:fill="FFFFFF"/>
        </w:rPr>
        <w:t>. Routledge.</w:t>
      </w:r>
    </w:p>
    <w:p w:rsidR="002F540E" w:rsidRPr="004F3EC5" w:rsidRDefault="002F540E" w:rsidP="002F540E">
      <w:pPr>
        <w:spacing w:after="0" w:line="480" w:lineRule="auto"/>
        <w:ind w:left="284" w:hanging="284"/>
        <w:contextualSpacing/>
        <w:rPr>
          <w:rFonts w:ascii="Times New Roman" w:hAnsi="Times New Roman" w:cs="Times New Roman"/>
          <w:color w:val="222222"/>
          <w:sz w:val="24"/>
          <w:szCs w:val="24"/>
          <w:shd w:val="clear" w:color="auto" w:fill="FFFFFF"/>
        </w:rPr>
      </w:pPr>
      <w:r w:rsidRPr="004F3EC5">
        <w:rPr>
          <w:rFonts w:ascii="Times New Roman" w:hAnsi="Times New Roman" w:cs="Times New Roman"/>
          <w:color w:val="222222"/>
          <w:sz w:val="24"/>
          <w:szCs w:val="24"/>
          <w:shd w:val="clear" w:color="auto" w:fill="FFFFFF"/>
        </w:rPr>
        <w:t>Hong, Z. (2018). </w:t>
      </w:r>
      <w:r w:rsidRPr="004F3EC5">
        <w:rPr>
          <w:rFonts w:ascii="Times New Roman" w:hAnsi="Times New Roman" w:cs="Times New Roman"/>
          <w:i/>
          <w:iCs/>
          <w:color w:val="222222"/>
          <w:sz w:val="24"/>
          <w:szCs w:val="24"/>
          <w:shd w:val="clear" w:color="auto" w:fill="FFFFFF"/>
        </w:rPr>
        <w:t>Chinese and Japanese infrastructure investment in Southeast Asia: from Rivalry to cooperation?</w:t>
      </w:r>
      <w:r w:rsidRPr="004F3EC5">
        <w:rPr>
          <w:rFonts w:ascii="Times New Roman" w:hAnsi="Times New Roman" w:cs="Times New Roman"/>
          <w:color w:val="222222"/>
          <w:sz w:val="24"/>
          <w:szCs w:val="24"/>
          <w:shd w:val="clear" w:color="auto" w:fill="FFFFFF"/>
        </w:rPr>
        <w:t> (No. 689). Institute of Developing Economies, Japan External Trade Organization (JETRO).</w:t>
      </w:r>
    </w:p>
    <w:p w:rsidR="002F540E" w:rsidRPr="004F3EC5" w:rsidRDefault="002F540E" w:rsidP="002F540E">
      <w:pPr>
        <w:spacing w:after="0" w:line="480" w:lineRule="auto"/>
        <w:ind w:left="284" w:hanging="284"/>
        <w:contextualSpacing/>
        <w:rPr>
          <w:rFonts w:ascii="Times New Roman" w:hAnsi="Times New Roman" w:cs="Times New Roman"/>
          <w:color w:val="222222"/>
          <w:sz w:val="24"/>
          <w:szCs w:val="24"/>
          <w:shd w:val="clear" w:color="auto" w:fill="FFFFFF"/>
        </w:rPr>
      </w:pPr>
      <w:r w:rsidRPr="004F3EC5">
        <w:rPr>
          <w:rFonts w:ascii="Times New Roman" w:hAnsi="Times New Roman" w:cs="Times New Roman"/>
          <w:color w:val="222222"/>
          <w:sz w:val="24"/>
          <w:szCs w:val="24"/>
          <w:shd w:val="clear" w:color="auto" w:fill="FFFFFF"/>
        </w:rPr>
        <w:t xml:space="preserve">Saito, M., Kondo, N., Aida, J., </w:t>
      </w:r>
      <w:proofErr w:type="spellStart"/>
      <w:r w:rsidRPr="004F3EC5">
        <w:rPr>
          <w:rFonts w:ascii="Times New Roman" w:hAnsi="Times New Roman" w:cs="Times New Roman"/>
          <w:color w:val="222222"/>
          <w:sz w:val="24"/>
          <w:szCs w:val="24"/>
          <w:shd w:val="clear" w:color="auto" w:fill="FFFFFF"/>
        </w:rPr>
        <w:t>Kawachi</w:t>
      </w:r>
      <w:proofErr w:type="spellEnd"/>
      <w:r w:rsidRPr="004F3EC5">
        <w:rPr>
          <w:rFonts w:ascii="Times New Roman" w:hAnsi="Times New Roman" w:cs="Times New Roman"/>
          <w:color w:val="222222"/>
          <w:sz w:val="24"/>
          <w:szCs w:val="24"/>
          <w:shd w:val="clear" w:color="auto" w:fill="FFFFFF"/>
        </w:rPr>
        <w:t xml:space="preserve">, I., Koyama, S., </w:t>
      </w:r>
      <w:proofErr w:type="spellStart"/>
      <w:r w:rsidRPr="004F3EC5">
        <w:rPr>
          <w:rFonts w:ascii="Times New Roman" w:hAnsi="Times New Roman" w:cs="Times New Roman"/>
          <w:color w:val="222222"/>
          <w:sz w:val="24"/>
          <w:szCs w:val="24"/>
          <w:shd w:val="clear" w:color="auto" w:fill="FFFFFF"/>
        </w:rPr>
        <w:t>Ojima</w:t>
      </w:r>
      <w:proofErr w:type="spellEnd"/>
      <w:r w:rsidRPr="004F3EC5">
        <w:rPr>
          <w:rFonts w:ascii="Times New Roman" w:hAnsi="Times New Roman" w:cs="Times New Roman"/>
          <w:color w:val="222222"/>
          <w:sz w:val="24"/>
          <w:szCs w:val="24"/>
          <w:shd w:val="clear" w:color="auto" w:fill="FFFFFF"/>
        </w:rPr>
        <w:t>, T., &amp; Kondo, K. (2017). Development of an instrument for community-level health related social capital among Japanese older people: The JAGES Project. </w:t>
      </w:r>
      <w:r w:rsidRPr="004F3EC5">
        <w:rPr>
          <w:rFonts w:ascii="Times New Roman" w:hAnsi="Times New Roman" w:cs="Times New Roman"/>
          <w:i/>
          <w:iCs/>
          <w:color w:val="222222"/>
          <w:sz w:val="24"/>
          <w:szCs w:val="24"/>
          <w:shd w:val="clear" w:color="auto" w:fill="FFFFFF"/>
        </w:rPr>
        <w:t>Journal of epidemiology</w:t>
      </w:r>
      <w:r w:rsidRPr="004F3EC5">
        <w:rPr>
          <w:rFonts w:ascii="Times New Roman" w:hAnsi="Times New Roman" w:cs="Times New Roman"/>
          <w:color w:val="222222"/>
          <w:sz w:val="24"/>
          <w:szCs w:val="24"/>
          <w:shd w:val="clear" w:color="auto" w:fill="FFFFFF"/>
        </w:rPr>
        <w:t>, </w:t>
      </w:r>
      <w:r w:rsidRPr="004F3EC5">
        <w:rPr>
          <w:rFonts w:ascii="Times New Roman" w:hAnsi="Times New Roman" w:cs="Times New Roman"/>
          <w:i/>
          <w:iCs/>
          <w:color w:val="222222"/>
          <w:sz w:val="24"/>
          <w:szCs w:val="24"/>
          <w:shd w:val="clear" w:color="auto" w:fill="FFFFFF"/>
        </w:rPr>
        <w:t>27</w:t>
      </w:r>
      <w:r w:rsidRPr="004F3EC5">
        <w:rPr>
          <w:rFonts w:ascii="Times New Roman" w:hAnsi="Times New Roman" w:cs="Times New Roman"/>
          <w:color w:val="222222"/>
          <w:sz w:val="24"/>
          <w:szCs w:val="24"/>
          <w:shd w:val="clear" w:color="auto" w:fill="FFFFFF"/>
        </w:rPr>
        <w:t>(5), 221-227.</w:t>
      </w:r>
    </w:p>
    <w:sectPr w:rsidR="002F540E" w:rsidRPr="004F3EC5" w:rsidSect="004F3EC5">
      <w:headerReference w:type="default" r:id="rId6"/>
      <w:headerReference w:type="first" r:id="rId7"/>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E27DA" w:rsidRDefault="00AE27DA" w:rsidP="004F3EC5">
      <w:pPr>
        <w:spacing w:after="0" w:line="240" w:lineRule="auto"/>
      </w:pPr>
      <w:r>
        <w:separator/>
      </w:r>
    </w:p>
  </w:endnote>
  <w:endnote w:type="continuationSeparator" w:id="0">
    <w:p w:rsidR="00AE27DA" w:rsidRDefault="00AE27DA" w:rsidP="004F3E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E27DA" w:rsidRDefault="00AE27DA" w:rsidP="004F3EC5">
      <w:pPr>
        <w:spacing w:after="0" w:line="240" w:lineRule="auto"/>
      </w:pPr>
      <w:r>
        <w:separator/>
      </w:r>
    </w:p>
  </w:footnote>
  <w:footnote w:type="continuationSeparator" w:id="0">
    <w:p w:rsidR="00AE27DA" w:rsidRDefault="00AE27DA" w:rsidP="004F3E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C5" w:rsidRDefault="004F3EC5">
    <w:pPr>
      <w:pStyle w:val="Header"/>
    </w:pPr>
    <w:r>
      <w:tab/>
    </w:r>
    <w:r>
      <w:tab/>
    </w:r>
    <w:r>
      <w:fldChar w:fldCharType="begin"/>
    </w:r>
    <w:r>
      <w:instrText xml:space="preserve"> PAGE   \* MERGEFORMAT </w:instrText>
    </w:r>
    <w:r>
      <w:fldChar w:fldCharType="separate"/>
    </w:r>
    <w:r w:rsidR="009A61B4">
      <w:rPr>
        <w:noProof/>
      </w:rPr>
      <w:t>8</w:t>
    </w:r>
    <w:r>
      <w:rPr>
        <w:noProof/>
      </w:rPr>
      <w:fldChar w:fldCharType="end"/>
    </w:r>
  </w:p>
  <w:p w:rsidR="004F3EC5" w:rsidRDefault="004F3EC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3EC5" w:rsidRPr="004F3EC5" w:rsidRDefault="004F3EC5">
    <w:pPr>
      <w:pStyle w:val="Header"/>
      <w:rPr>
        <w:rFonts w:ascii="Times New Roman" w:hAnsi="Times New Roman" w:cs="Times New Roman"/>
        <w:sz w:val="24"/>
        <w:szCs w:val="24"/>
      </w:rPr>
    </w:pPr>
    <w:r>
      <w:tab/>
    </w:r>
    <w:r>
      <w:tab/>
    </w:r>
    <w:r w:rsidRPr="004F3EC5">
      <w:rPr>
        <w:rFonts w:ascii="Times New Roman" w:hAnsi="Times New Roman" w:cs="Times New Roman"/>
        <w:sz w:val="24"/>
        <w:szCs w:val="24"/>
      </w:rPr>
      <w:fldChar w:fldCharType="begin"/>
    </w:r>
    <w:r w:rsidRPr="004F3EC5">
      <w:rPr>
        <w:rFonts w:ascii="Times New Roman" w:hAnsi="Times New Roman" w:cs="Times New Roman"/>
        <w:sz w:val="24"/>
        <w:szCs w:val="24"/>
      </w:rPr>
      <w:instrText xml:space="preserve"> PAGE   \* MERGEFORMAT </w:instrText>
    </w:r>
    <w:r w:rsidRPr="004F3EC5">
      <w:rPr>
        <w:rFonts w:ascii="Times New Roman" w:hAnsi="Times New Roman" w:cs="Times New Roman"/>
        <w:sz w:val="24"/>
        <w:szCs w:val="24"/>
      </w:rPr>
      <w:fldChar w:fldCharType="separate"/>
    </w:r>
    <w:r w:rsidR="002F540E">
      <w:rPr>
        <w:rFonts w:ascii="Times New Roman" w:hAnsi="Times New Roman" w:cs="Times New Roman"/>
        <w:noProof/>
        <w:sz w:val="24"/>
        <w:szCs w:val="24"/>
      </w:rPr>
      <w:t>1</w:t>
    </w:r>
    <w:r w:rsidRPr="004F3EC5">
      <w:rPr>
        <w:rFonts w:ascii="Times New Roman" w:hAnsi="Times New Roman" w:cs="Times New Roman"/>
        <w:noProof/>
        <w:sz w:val="24"/>
        <w:szCs w:val="24"/>
      </w:rPr>
      <w:fldChar w:fldCharType="end"/>
    </w:r>
  </w:p>
  <w:p w:rsidR="004F3EC5" w:rsidRDefault="004F3E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35FF"/>
    <w:rsid w:val="00203ED4"/>
    <w:rsid w:val="002F540E"/>
    <w:rsid w:val="003B35FF"/>
    <w:rsid w:val="004F3EC5"/>
    <w:rsid w:val="009A61B4"/>
    <w:rsid w:val="00AE27DA"/>
    <w:rsid w:val="00BD5171"/>
    <w:rsid w:val="00F52C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286607"/>
  <w15:chartTrackingRefBased/>
  <w15:docId w15:val="{1444B3EF-4B41-4C83-82C6-76F48FA4C0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F3E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3EC5"/>
  </w:style>
  <w:style w:type="paragraph" w:styleId="Footer">
    <w:name w:val="footer"/>
    <w:basedOn w:val="Normal"/>
    <w:link w:val="FooterChar"/>
    <w:uiPriority w:val="99"/>
    <w:unhideWhenUsed/>
    <w:rsid w:val="004F3E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3E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37</TotalTime>
  <Pages>8</Pages>
  <Words>1678</Words>
  <Characters>9567</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2020-11-20T18:13:00Z</dcterms:created>
  <dcterms:modified xsi:type="dcterms:W3CDTF">2020-11-20T18:54:00Z</dcterms:modified>
</cp:coreProperties>
</file>